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93" w:rsidRDefault="004B4FB2">
      <w:pPr>
        <w:pStyle w:val="berschrift1"/>
        <w:ind w:left="-5"/>
      </w:pPr>
      <w:r>
        <w:t>Bedingungen des Förderungsvertrags</w:t>
      </w:r>
    </w:p>
    <w:p w:rsidR="00472912" w:rsidRDefault="00472912" w:rsidP="00597B41">
      <w:pPr>
        <w:spacing w:after="120" w:line="259" w:lineRule="auto"/>
        <w:ind w:left="-6" w:hanging="11"/>
      </w:pPr>
      <w:r>
        <w:t xml:space="preserve">Die rechtlichen Grundlagen des Förderungsvertrags </w:t>
      </w:r>
      <w:r w:rsidR="00597B41">
        <w:t xml:space="preserve">ist </w:t>
      </w:r>
      <w:r>
        <w:t>die Verordnung des Bundesministers für Finanzen über Allgemeine Rahmenrichtlinien für die Gewährung von Förderungen aus Bundesmitteln (ARR 2014).</w:t>
      </w:r>
    </w:p>
    <w:p w:rsidR="00472912" w:rsidRDefault="00472912" w:rsidP="00472912">
      <w:pPr>
        <w:spacing w:after="254"/>
        <w:ind w:left="-5"/>
      </w:pPr>
      <w:r>
        <w:t xml:space="preserve">Soweit dieser Förderungsvertrag nicht ausdrücklich abweichende Regelungen trifft, werden die </w:t>
      </w:r>
      <w:r w:rsidR="00597B41">
        <w:t>Allgemeine Rahmenrichtlinien für die Gewährung von Förderungen aus Bundesmitteln (ARR 2014)</w:t>
      </w:r>
      <w:r>
        <w:t xml:space="preserve"> dem Vertrag zu Grunde gelegt und es gelten die dort vorgesehenen Bestimmungen zwischen den Parteien des Förderungsvertrages als vereinbart.</w:t>
      </w:r>
    </w:p>
    <w:p w:rsidR="00472912" w:rsidRDefault="00472912" w:rsidP="00472912">
      <w:pPr>
        <w:numPr>
          <w:ilvl w:val="0"/>
          <w:numId w:val="7"/>
        </w:numPr>
        <w:ind w:hanging="312"/>
      </w:pPr>
      <w:r>
        <w:rPr>
          <w:b/>
        </w:rPr>
        <w:t>Förderungsansuchen:</w:t>
      </w:r>
      <w:r>
        <w:t xml:space="preserve"> </w:t>
      </w:r>
      <w:proofErr w:type="spellStart"/>
      <w:proofErr w:type="gramStart"/>
      <w:r>
        <w:t>Der:Die</w:t>
      </w:r>
      <w:proofErr w:type="spellEnd"/>
      <w:proofErr w:type="gramEnd"/>
      <w:r>
        <w:t xml:space="preserve"> </w:t>
      </w:r>
      <w:proofErr w:type="spellStart"/>
      <w:r>
        <w:t>Förderungswerber:in</w:t>
      </w:r>
      <w:proofErr w:type="spellEnd"/>
      <w:r>
        <w:t xml:space="preserve"> hat das Förderungsansuchen vollständig auszufüllen, die geforderten Beilagen anzuschließen und die Vertragsbedingungen durch Unterschrift ohne Vorbehalte oder Einschränkungen zu akzeptieren.</w:t>
      </w:r>
    </w:p>
    <w:p w:rsidR="00472912" w:rsidRDefault="00472912" w:rsidP="00472912">
      <w:pPr>
        <w:numPr>
          <w:ilvl w:val="0"/>
          <w:numId w:val="7"/>
        </w:numPr>
        <w:ind w:hanging="312"/>
      </w:pPr>
      <w:r>
        <w:rPr>
          <w:b/>
        </w:rPr>
        <w:t xml:space="preserve">Zustandekommen des Vertrags: </w:t>
      </w:r>
      <w:r>
        <w:t xml:space="preserve">Wenn dem Ansuchen des Förderungswerbers bzw. der Förderungswerberin entsprochen wird, erfolgt eine schriftliche Förderzusage (Vertrag) über die Förderhöhe und die geförderte Leistung an </w:t>
      </w:r>
      <w:proofErr w:type="spellStart"/>
      <w:proofErr w:type="gramStart"/>
      <w:r>
        <w:t>den:die</w:t>
      </w:r>
      <w:proofErr w:type="spellEnd"/>
      <w:proofErr w:type="gramEnd"/>
      <w:r>
        <w:t xml:space="preserve"> </w:t>
      </w:r>
      <w:proofErr w:type="spellStart"/>
      <w:r>
        <w:t>Förderungsnehmer:in</w:t>
      </w:r>
      <w:proofErr w:type="spellEnd"/>
      <w:r>
        <w:t xml:space="preserve">. Die weiteren Modalitäten, wie die Abrechnungsfrist, werden in der Mitteilung geregelt. Sollte die Zusage auf Basis eines vorbehaltlos unterfertigten Ansuchens gemäß § 23 Abs. 5 ARR 2014 erfolgen und nicht dem Ansuchen entsprechen, so entsteht der Vertrag entsprechend dem Inhalt der Förderungszusage (Vertrag), sofern </w:t>
      </w:r>
      <w:proofErr w:type="spellStart"/>
      <w:proofErr w:type="gramStart"/>
      <w:r>
        <w:t>der:die</w:t>
      </w:r>
      <w:proofErr w:type="spellEnd"/>
      <w:proofErr w:type="gramEnd"/>
      <w:r>
        <w:t xml:space="preserve"> </w:t>
      </w:r>
      <w:proofErr w:type="spellStart"/>
      <w:r>
        <w:t>Förderungsnehmer:in</w:t>
      </w:r>
      <w:proofErr w:type="spellEnd"/>
      <w:r>
        <w:t xml:space="preserve"> nicht innerhalb von 14 Tagen schriftlich widerspricht. Mündliche Abreden sind nicht wirksam, Änderungen oder Ergänzungen der Vereinbarung bedürfen zu ihrer Rechtswirksamkeit der Schriftform.</w:t>
      </w:r>
    </w:p>
    <w:p w:rsidR="00472912" w:rsidRDefault="00472912" w:rsidP="00472912">
      <w:pPr>
        <w:numPr>
          <w:ilvl w:val="0"/>
          <w:numId w:val="7"/>
        </w:numPr>
        <w:ind w:hanging="312"/>
      </w:pPr>
      <w:r>
        <w:rPr>
          <w:b/>
        </w:rPr>
        <w:t>Umsetzung des vereinbarten Projektes/Vorhabens:</w:t>
      </w:r>
      <w:r>
        <w:t xml:space="preserve"> Mit Annahme des Förderungsvertrags und der damit verbundenen Förderung verpflichtet sich </w:t>
      </w:r>
      <w:proofErr w:type="spellStart"/>
      <w:proofErr w:type="gramStart"/>
      <w:r>
        <w:t>der:die</w:t>
      </w:r>
      <w:proofErr w:type="spellEnd"/>
      <w:proofErr w:type="gramEnd"/>
      <w:r>
        <w:t xml:space="preserve"> </w:t>
      </w:r>
      <w:proofErr w:type="spellStart"/>
      <w:r>
        <w:t>Förderungsnehmer:in</w:t>
      </w:r>
      <w:proofErr w:type="spellEnd"/>
      <w:r>
        <w:t xml:space="preserve"> zur Durchführung des Vorhabens in der vereinbarten Form. </w:t>
      </w:r>
      <w:proofErr w:type="spellStart"/>
      <w:proofErr w:type="gramStart"/>
      <w:r>
        <w:t>Er:Sie</w:t>
      </w:r>
      <w:proofErr w:type="spellEnd"/>
      <w:proofErr w:type="gramEnd"/>
      <w:r>
        <w:t xml:space="preserve"> ist verpflichtet, die Besichtigung der Leistung durch Beauftragte des </w:t>
      </w:r>
      <w:r w:rsidR="008627C1">
        <w:t>BMWKMS</w:t>
      </w:r>
      <w:r>
        <w:t xml:space="preserve"> unentgeltlich zu gestatten.</w:t>
      </w:r>
    </w:p>
    <w:p w:rsidR="00472912" w:rsidRDefault="00472912" w:rsidP="00472912">
      <w:pPr>
        <w:numPr>
          <w:ilvl w:val="0"/>
          <w:numId w:val="7"/>
        </w:numPr>
        <w:spacing w:after="203" w:line="265" w:lineRule="auto"/>
        <w:ind w:hanging="312"/>
      </w:pPr>
      <w:r>
        <w:rPr>
          <w:b/>
        </w:rPr>
        <w:t>Mitteilungspflichten bei Änderungen:</w:t>
      </w:r>
      <w:r>
        <w:t xml:space="preserve"> </w:t>
      </w:r>
      <w:proofErr w:type="spellStart"/>
      <w:proofErr w:type="gramStart"/>
      <w:r>
        <w:t>Der:Die</w:t>
      </w:r>
      <w:proofErr w:type="spellEnd"/>
      <w:proofErr w:type="gramEnd"/>
      <w:r>
        <w:t xml:space="preserve"> </w:t>
      </w:r>
      <w:proofErr w:type="spellStart"/>
      <w:r>
        <w:t>Förderungsnehmer:in</w:t>
      </w:r>
      <w:proofErr w:type="spellEnd"/>
      <w:r>
        <w:t xml:space="preserve"> hat </w:t>
      </w:r>
    </w:p>
    <w:p w:rsidR="00472912" w:rsidRDefault="00472912" w:rsidP="00472912">
      <w:pPr>
        <w:numPr>
          <w:ilvl w:val="1"/>
          <w:numId w:val="7"/>
        </w:numPr>
        <w:ind w:hanging="312"/>
      </w:pPr>
      <w:r>
        <w:t xml:space="preserve">Änderungen (ausgenommen sind ganz geringfügige Änderungen), Verzögerungen, die Unmöglichkeit der Durchführung des geförderten Vorhabens sowie </w:t>
      </w:r>
    </w:p>
    <w:p w:rsidR="008627C1" w:rsidRDefault="00472912" w:rsidP="00472912">
      <w:pPr>
        <w:numPr>
          <w:ilvl w:val="1"/>
          <w:numId w:val="7"/>
        </w:numPr>
        <w:ind w:hanging="312"/>
      </w:pPr>
      <w:r>
        <w:t xml:space="preserve">Änderungen bei der Finanzierung, der Rechtsform, der verantwortlichen Personen (Schlüsselpersonal) und der Adresse unverzüglich und auf eigene Initiative dem </w:t>
      </w:r>
      <w:r w:rsidR="008627C1">
        <w:t>BMWKMS</w:t>
      </w:r>
      <w:r>
        <w:t xml:space="preserve"> schriftlich anzuzeigen. </w:t>
      </w:r>
    </w:p>
    <w:p w:rsidR="00472912" w:rsidRDefault="00472912" w:rsidP="008627C1">
      <w:pPr>
        <w:ind w:left="312" w:firstLine="0"/>
      </w:pPr>
      <w:r>
        <w:t>In diesen Fällen kann der Bund neue Bedingungen und Auflagen vorsehen, die Förderungshöhe anpassen und bei wesentlichen Leistungseinschränkungen auch gänzlich vom Vertrag zurücktreten. Der Bund behält sich vor, bei erheblichen inhaltlichen Änderungen des Projekts/Vorhabens sowie wesentlichen Änderungen des Finanzierungsplanes diesen Vertrag jederzeit aufzulösen.</w:t>
      </w:r>
    </w:p>
    <w:p w:rsidR="00472912" w:rsidRDefault="00472912" w:rsidP="00472912">
      <w:pPr>
        <w:numPr>
          <w:ilvl w:val="0"/>
          <w:numId w:val="7"/>
        </w:numPr>
        <w:ind w:hanging="312"/>
      </w:pPr>
      <w:r>
        <w:rPr>
          <w:b/>
        </w:rPr>
        <w:t>Gleichstellung:</w:t>
      </w:r>
      <w:r>
        <w:t xml:space="preserve"> </w:t>
      </w:r>
      <w:proofErr w:type="spellStart"/>
      <w:proofErr w:type="gramStart"/>
      <w:r>
        <w:t>Der:Die</w:t>
      </w:r>
      <w:proofErr w:type="spellEnd"/>
      <w:proofErr w:type="gramEnd"/>
      <w:r>
        <w:t xml:space="preserve"> </w:t>
      </w:r>
      <w:proofErr w:type="spellStart"/>
      <w:r>
        <w:t>Förderungsnehmer:in</w:t>
      </w:r>
      <w:proofErr w:type="spellEnd"/>
      <w:r>
        <w:t xml:space="preserve"> hat für die tatsächliche Gleichstellung von Männern und Frauen in </w:t>
      </w:r>
      <w:proofErr w:type="spellStart"/>
      <w:r>
        <w:t>seinem:ihrem</w:t>
      </w:r>
      <w:proofErr w:type="spellEnd"/>
      <w:r>
        <w:t xml:space="preserve"> Einflussbereich Sorge zu tragen. Das Gleichbehandlungsgesetz, das Bundes-Behindertengleichstellungsgesetz und das Diskriminierungsverbot gemäß § 7b </w:t>
      </w:r>
      <w:proofErr w:type="spellStart"/>
      <w:r>
        <w:t>BEinstG</w:t>
      </w:r>
      <w:proofErr w:type="spellEnd"/>
      <w:r>
        <w:t xml:space="preserve"> sind einzuhalten.</w:t>
      </w:r>
    </w:p>
    <w:p w:rsidR="00472912" w:rsidRDefault="00472912" w:rsidP="00472912">
      <w:pPr>
        <w:numPr>
          <w:ilvl w:val="0"/>
          <w:numId w:val="7"/>
        </w:numPr>
        <w:ind w:hanging="312"/>
      </w:pPr>
      <w:r>
        <w:rPr>
          <w:b/>
        </w:rPr>
        <w:t>Abtretungsverbot:</w:t>
      </w:r>
      <w:r>
        <w:t xml:space="preserve"> Über den Anspruch aus einer gewährten Förderung darf weder durch Abtretung, Anweisung oder Verpfändung noch auf andere Weise verfügt werden.</w:t>
      </w:r>
    </w:p>
    <w:p w:rsidR="00472912" w:rsidRDefault="00472912" w:rsidP="00472912">
      <w:pPr>
        <w:numPr>
          <w:ilvl w:val="0"/>
          <w:numId w:val="7"/>
        </w:numPr>
        <w:ind w:hanging="312"/>
      </w:pPr>
      <w:r>
        <w:rPr>
          <w:b/>
        </w:rPr>
        <w:t>Gebarung:</w:t>
      </w:r>
      <w:r>
        <w:t xml:space="preserve"> Die Förderungsmittel werden entsprechend der Zusage auf das </w:t>
      </w:r>
      <w:proofErr w:type="spellStart"/>
      <w:proofErr w:type="gramStart"/>
      <w:r>
        <w:t>vom:von</w:t>
      </w:r>
      <w:proofErr w:type="spellEnd"/>
      <w:proofErr w:type="gramEnd"/>
      <w:r>
        <w:t xml:space="preserve"> der </w:t>
      </w:r>
      <w:proofErr w:type="spellStart"/>
      <w:r>
        <w:t>Förderungsnehmer:in</w:t>
      </w:r>
      <w:proofErr w:type="spellEnd"/>
      <w:r>
        <w:t xml:space="preserve"> genannte Konto angewiesen. Auszahlungen erfolgen nur vorbehaltlich der Verfügbarkeit von Budgetmitteln. Verzögerungen bei der Auszahlung begründen keine Ansprüche auf Schadenersatz. Für die Abwicklung des geförderten Vorhabens ist eine von der sonstigen Gebarung gesonderte Verrechnung zu führen, die dazu gehörenden Belege können in der allgemeinen Buchhaltung des Förderungsnehmers bzw. der Förderungsnehmerin abgelegt werden.</w:t>
      </w:r>
    </w:p>
    <w:p w:rsidR="00472912" w:rsidRDefault="00472912" w:rsidP="00472912">
      <w:pPr>
        <w:numPr>
          <w:ilvl w:val="0"/>
          <w:numId w:val="7"/>
        </w:numPr>
        <w:ind w:hanging="312"/>
      </w:pPr>
      <w:r>
        <w:rPr>
          <w:b/>
        </w:rPr>
        <w:t>Verwendung der Mittel:</w:t>
      </w:r>
      <w:r>
        <w:t xml:space="preserve"> Die Förderungsmittel dürfen nur für den geförderten Zweck in wirtschaftlicher, sparsamer und zweckmäßiger Weise verwendet werden. Rabatte, Skonti und dergleichen sind in Anspruch zu nehmen.</w:t>
      </w:r>
    </w:p>
    <w:p w:rsidR="00472912" w:rsidRDefault="00472912" w:rsidP="00472912">
      <w:pPr>
        <w:numPr>
          <w:ilvl w:val="0"/>
          <w:numId w:val="7"/>
        </w:numPr>
        <w:ind w:hanging="312"/>
      </w:pPr>
      <w:r>
        <w:rPr>
          <w:b/>
        </w:rPr>
        <w:t>Verwendungsnachweise:</w:t>
      </w:r>
      <w:r>
        <w:t xml:space="preserve"> </w:t>
      </w:r>
      <w:proofErr w:type="spellStart"/>
      <w:proofErr w:type="gramStart"/>
      <w:r>
        <w:t>Der:Die</w:t>
      </w:r>
      <w:proofErr w:type="spellEnd"/>
      <w:proofErr w:type="gramEnd"/>
      <w:r>
        <w:t xml:space="preserve"> </w:t>
      </w:r>
      <w:proofErr w:type="spellStart"/>
      <w:r>
        <w:t>Förderungsnehmer:in</w:t>
      </w:r>
      <w:proofErr w:type="spellEnd"/>
      <w:r>
        <w:t xml:space="preserve"> ist verpflichtet, dem </w:t>
      </w:r>
      <w:r w:rsidR="008627C1">
        <w:t>BMWKMS</w:t>
      </w:r>
      <w:r>
        <w:t xml:space="preserve"> über die Verwendung der Förderungsmittel spätestens zu dem im </w:t>
      </w:r>
      <w:proofErr w:type="spellStart"/>
      <w:r>
        <w:t>Zusageschreiben</w:t>
      </w:r>
      <w:proofErr w:type="spellEnd"/>
      <w:r>
        <w:t xml:space="preserve"> angegebenen Termin unter Vorlage der dort angeführten Unterlagen einen Nachweis zu erbringen. Auf begründetes Verlangen hin sind diese Unterlagen jederzeit vorzulegen. Kann die angeführte Frist nicht eingehalten werden, ist </w:t>
      </w:r>
      <w:proofErr w:type="spellStart"/>
      <w:proofErr w:type="gramStart"/>
      <w:r>
        <w:t>der:die</w:t>
      </w:r>
      <w:proofErr w:type="spellEnd"/>
      <w:proofErr w:type="gramEnd"/>
      <w:r>
        <w:t xml:space="preserve"> </w:t>
      </w:r>
      <w:proofErr w:type="spellStart"/>
      <w:r>
        <w:t>Förderungsnehmer:in</w:t>
      </w:r>
      <w:proofErr w:type="spellEnd"/>
      <w:r>
        <w:t xml:space="preserve"> verpflichtet, unaufgefordert und schriftlich eine begründete Fristverlängerung zu beantragen.</w:t>
      </w:r>
    </w:p>
    <w:p w:rsidR="00472912" w:rsidRDefault="00472912" w:rsidP="00472912">
      <w:pPr>
        <w:numPr>
          <w:ilvl w:val="0"/>
          <w:numId w:val="7"/>
        </w:numPr>
        <w:ind w:hanging="312"/>
      </w:pPr>
      <w:r>
        <w:rPr>
          <w:b/>
        </w:rPr>
        <w:t>Aufbewahrungs- und Auskunftspflicht:</w:t>
      </w:r>
      <w:r>
        <w:t xml:space="preserve"> </w:t>
      </w:r>
      <w:proofErr w:type="spellStart"/>
      <w:proofErr w:type="gramStart"/>
      <w:r>
        <w:t>Der:Die</w:t>
      </w:r>
      <w:proofErr w:type="spellEnd"/>
      <w:proofErr w:type="gramEnd"/>
      <w:r>
        <w:t xml:space="preserve"> </w:t>
      </w:r>
      <w:proofErr w:type="spellStart"/>
      <w:r>
        <w:t>Förderungsnehmer:in</w:t>
      </w:r>
      <w:proofErr w:type="spellEnd"/>
      <w:r>
        <w:t xml:space="preserve"> hat alle zur Überprüfung der widmungsmäßigen Verwendung der Förderungsmittel notwendigen Aufzeichnungen zu führen und diese mit den Belegen über zehn Jahre nach Auszahlung der Förderung aufzubewahren. Auf Verlangen des </w:t>
      </w:r>
      <w:r w:rsidR="008627C1">
        <w:t>BMWKMS</w:t>
      </w:r>
      <w:r>
        <w:t xml:space="preserve">, der Europäischen Union oder des Rechnungshofes sind alle Belege des geförderten Vorhabens </w:t>
      </w:r>
      <w:r>
        <w:lastRenderedPageBreak/>
        <w:t>vorzulegen bzw. ist Einsicht in diese Unterlagen und die Besichtigung an Ort und Stelle zu gestatten sowie sind die erforderlichen Auskünfte zu erteilen.</w:t>
      </w:r>
    </w:p>
    <w:p w:rsidR="00472912" w:rsidRDefault="00472912" w:rsidP="00472912">
      <w:pPr>
        <w:numPr>
          <w:ilvl w:val="0"/>
          <w:numId w:val="7"/>
        </w:numPr>
        <w:ind w:hanging="312"/>
      </w:pPr>
      <w:r>
        <w:rPr>
          <w:b/>
        </w:rPr>
        <w:t xml:space="preserve">Datenschutzinformation/Verwendung des Logos des </w:t>
      </w:r>
      <w:r w:rsidR="008627C1">
        <w:rPr>
          <w:b/>
        </w:rPr>
        <w:t>BMWKMS</w:t>
      </w:r>
      <w:r>
        <w:rPr>
          <w:b/>
        </w:rPr>
        <w:t>/Anfragen:</w:t>
      </w:r>
      <w:r>
        <w:t xml:space="preserve"> </w:t>
      </w:r>
      <w:proofErr w:type="spellStart"/>
      <w:proofErr w:type="gramStart"/>
      <w:r>
        <w:t>Der:Die</w:t>
      </w:r>
      <w:proofErr w:type="spellEnd"/>
      <w:proofErr w:type="gramEnd"/>
      <w:r>
        <w:t xml:space="preserve"> </w:t>
      </w:r>
      <w:proofErr w:type="spellStart"/>
      <w:r>
        <w:t>Förderungsnehmer:in</w:t>
      </w:r>
      <w:proofErr w:type="spellEnd"/>
      <w:r>
        <w:t xml:space="preserve"> stimmt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w:t>
      </w:r>
      <w:proofErr w:type="spellStart"/>
      <w:r>
        <w:t>idgF</w:t>
      </w:r>
      <w:proofErr w:type="spellEnd"/>
      <w:r>
        <w:t xml:space="preserve"> ausdrücklich zu, dass</w:t>
      </w:r>
    </w:p>
    <w:p w:rsidR="00472912" w:rsidRDefault="00472912" w:rsidP="00472912">
      <w:pPr>
        <w:numPr>
          <w:ilvl w:val="1"/>
          <w:numId w:val="7"/>
        </w:numPr>
        <w:ind w:hanging="312"/>
      </w:pPr>
      <w:r>
        <w:t xml:space="preserve">das </w:t>
      </w:r>
      <w:r w:rsidR="008627C1">
        <w:t>BMWKMS</w:t>
      </w:r>
      <w:r>
        <w:t xml:space="preserve"> im Zuge der Entscheidung über die Förderung zweckdienliche Auskünfte bei Dritten (z.B. bei Finanzbehörden und Banken) einholt,</w:t>
      </w:r>
    </w:p>
    <w:p w:rsidR="00472912" w:rsidRDefault="00472912" w:rsidP="00472912">
      <w:pPr>
        <w:numPr>
          <w:ilvl w:val="1"/>
          <w:numId w:val="7"/>
        </w:numPr>
        <w:ind w:hanging="312"/>
      </w:pPr>
      <w:r>
        <w:t xml:space="preserve">das </w:t>
      </w:r>
      <w:r w:rsidR="008627C1">
        <w:t>BMWKMS</w:t>
      </w:r>
      <w:r>
        <w:t xml:space="preserve"> </w:t>
      </w:r>
      <w:proofErr w:type="spellStart"/>
      <w:proofErr w:type="gramStart"/>
      <w:r>
        <w:t>seinen:ihren</w:t>
      </w:r>
      <w:proofErr w:type="spellEnd"/>
      <w:proofErr w:type="gramEnd"/>
      <w:r>
        <w:t xml:space="preserve"> Namen, den Förderungszweck und die Höhe der Förderung im Kunst- und Kulturbericht veröffentlicht sowie für statistische Zwecke bekannt gibt,</w:t>
      </w:r>
    </w:p>
    <w:p w:rsidR="00472912" w:rsidRDefault="00472912" w:rsidP="00472912">
      <w:pPr>
        <w:numPr>
          <w:ilvl w:val="1"/>
          <w:numId w:val="7"/>
        </w:numPr>
        <w:ind w:hanging="312"/>
      </w:pPr>
      <w:r>
        <w:t xml:space="preserve">bestätigt, dass soweit im Zusammenhang mit der Anbahnung, Abwicklung und Kontrolle des gegenständlichen Förderungsvertrages personenbezogene Daten Dritter, die </w:t>
      </w:r>
      <w:proofErr w:type="spellStart"/>
      <w:proofErr w:type="gramStart"/>
      <w:r>
        <w:t>der:die</w:t>
      </w:r>
      <w:proofErr w:type="spellEnd"/>
      <w:proofErr w:type="gramEnd"/>
      <w:r>
        <w:t xml:space="preserve"> </w:t>
      </w:r>
      <w:proofErr w:type="spellStart"/>
      <w:r>
        <w:t>Förderungsnehmer:in</w:t>
      </w:r>
      <w:proofErr w:type="spellEnd"/>
      <w:r>
        <w:t xml:space="preserve"> hierzu heranzieht, erforderlich sind, von diesen zu dieser Verarbeitung ihrer personenbezogenen Daten die Einwilligung erteilt wurde,</w:t>
      </w:r>
    </w:p>
    <w:p w:rsidR="00472912" w:rsidRDefault="00472912" w:rsidP="00472912">
      <w:pPr>
        <w:numPr>
          <w:ilvl w:val="1"/>
          <w:numId w:val="7"/>
        </w:numPr>
        <w:ind w:hanging="312"/>
      </w:pPr>
      <w:r>
        <w:t xml:space="preserve">verpflichtet sich, in Druckwerken und beim Webauftritt mittels aktuellen Logos auf die Förderung durch das </w:t>
      </w:r>
      <w:r w:rsidR="008627C1">
        <w:t>BMWKMS</w:t>
      </w:r>
      <w:r>
        <w:t xml:space="preserve"> hinzuweisen. Verstöße dagegen führen zu einer angemessenen Kürzung der Förderung</w:t>
      </w:r>
    </w:p>
    <w:p w:rsidR="00472912" w:rsidRDefault="00472912" w:rsidP="00472912">
      <w:pPr>
        <w:numPr>
          <w:ilvl w:val="1"/>
          <w:numId w:val="7"/>
        </w:numPr>
        <w:spacing w:after="0"/>
        <w:ind w:hanging="312"/>
      </w:pPr>
      <w:r>
        <w:t xml:space="preserve">und nimmt zur Kenntnis, dass das </w:t>
      </w:r>
      <w:r w:rsidR="008627C1">
        <w:t>BMWKMS</w:t>
      </w:r>
      <w:r>
        <w:t xml:space="preserve"> Daten speichert und verarbeitet ausschließlich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w:t>
      </w:r>
      <w:proofErr w:type="spellStart"/>
      <w:r>
        <w:t>idgF</w:t>
      </w:r>
      <w:proofErr w:type="spellEnd"/>
      <w:r>
        <w:t xml:space="preserve">. Die Verarbeitung der personenbezogenen Daten des </w:t>
      </w:r>
    </w:p>
    <w:p w:rsidR="00472912" w:rsidRDefault="00472912" w:rsidP="00472912">
      <w:pPr>
        <w:ind w:left="634"/>
      </w:pPr>
      <w:r>
        <w:t xml:space="preserve">Förderungsnehmers bzw. der Förderungsnehmerin erfolgt auf der Rechtsgrundlage von Artikel 6 Absatz 1 </w:t>
      </w:r>
      <w:proofErr w:type="spellStart"/>
      <w:r>
        <w:t>lit</w:t>
      </w:r>
      <w:proofErr w:type="spellEnd"/>
      <w:r>
        <w:t xml:space="preserve">. b DSGVO zur Anbahnung und Erfüllung eines Förderungsvertrages, wozu auch die Überprüfung der Förderungsabrechnung zählt. Konkret werden jene personenbezogenen Daten verarbeitet, die </w:t>
      </w:r>
      <w:proofErr w:type="spellStart"/>
      <w:proofErr w:type="gramStart"/>
      <w:r>
        <w:t>der:die</w:t>
      </w:r>
      <w:proofErr w:type="spellEnd"/>
      <w:proofErr w:type="gramEnd"/>
      <w:r>
        <w:t xml:space="preserve"> </w:t>
      </w:r>
      <w:proofErr w:type="spellStart"/>
      <w:r>
        <w:t>Förde</w:t>
      </w:r>
      <w:r w:rsidR="008627C1">
        <w:t>rungsnehmer:in</w:t>
      </w:r>
      <w:proofErr w:type="spellEnd"/>
      <w:r w:rsidR="008627C1">
        <w:t xml:space="preserve"> bei der </w:t>
      </w:r>
      <w:proofErr w:type="spellStart"/>
      <w:r w:rsidR="008627C1">
        <w:t>Ansuchen</w:t>
      </w:r>
      <w:r>
        <w:t>stellung</w:t>
      </w:r>
      <w:proofErr w:type="spellEnd"/>
      <w:r>
        <w:t xml:space="preserve"> bekannt gegeben hat sowie jene Daten, die im Zuge der Vertragsabwicklung noch bekannt zu geben sind. Die personenbezogenen Daten werden so lange verarbeitet, als die Geltendmachung von Rechtsansprüchen aus dem Förderungsvertrag möglich ist.</w:t>
      </w:r>
    </w:p>
    <w:p w:rsidR="00472912" w:rsidRDefault="00472912" w:rsidP="00472912">
      <w:pPr>
        <w:ind w:left="322" w:right="85"/>
      </w:pPr>
      <w:r>
        <w:t xml:space="preserve">Eine Weiterleitung der personenbezogenen Daten des Förderungsnehmers bzw. der Förderungsnehmerin kann gegebenenfalls an den Rechnungshof, die Europäische Kommission, den Rat, die Transparenzdatenbank und das Bundesministerium für Finanzen erfolgen. </w:t>
      </w:r>
      <w:proofErr w:type="spellStart"/>
      <w:r>
        <w:t>Weiters</w:t>
      </w:r>
      <w:proofErr w:type="spellEnd"/>
      <w:r>
        <w:t xml:space="preserve"> können diese Daten an die Rechtsvertretung des </w:t>
      </w:r>
      <w:r w:rsidR="008627C1">
        <w:t>BMWKMS</w:t>
      </w:r>
      <w:r>
        <w:t xml:space="preserve"> sowie an Gerichte und Verwaltungsbehörden zur Durchsetzung oder Abwehr von Rechtsansprüchen in Zusammenhang mit dem Förderungsvertrag oder dessen Anbahnung übermittelt werden. Darüber hinaus können andere förderungsgewährende Stellen, insbesondere jene, die im Förderungsansuchen genannt werden, diese Daten erhalten.</w:t>
      </w:r>
    </w:p>
    <w:p w:rsidR="00472912" w:rsidRDefault="00472912" w:rsidP="00472912">
      <w:pPr>
        <w:ind w:left="322"/>
      </w:pPr>
      <w:proofErr w:type="spellStart"/>
      <w:proofErr w:type="gramStart"/>
      <w:r>
        <w:t>Dem:Der</w:t>
      </w:r>
      <w:proofErr w:type="spellEnd"/>
      <w:proofErr w:type="gramEnd"/>
      <w:r>
        <w:t xml:space="preserve"> </w:t>
      </w:r>
      <w:proofErr w:type="spellStart"/>
      <w:r>
        <w:t>Antragsteller:in</w:t>
      </w:r>
      <w:proofErr w:type="spellEnd"/>
      <w:r>
        <w:t xml:space="preserve"> stehen nach Maßgabe der DSGVO grundsätzlich die Rechte auf Auskunft, Berichtigung, Löschung, Einschränkung, Datenübertragbarkeit, Widerruf und Widerspruch zu. Widerruf bedingt einen Rückforderungsanspruch bereits gewährter Förderungen und führt zu einem Erlöschen des Anspruchs auf Gewährung. Sofern </w:t>
      </w:r>
      <w:proofErr w:type="spellStart"/>
      <w:proofErr w:type="gramStart"/>
      <w:r>
        <w:t>der:die</w:t>
      </w:r>
      <w:proofErr w:type="spellEnd"/>
      <w:proofErr w:type="gramEnd"/>
      <w:r>
        <w:t xml:space="preserve"> </w:t>
      </w:r>
      <w:proofErr w:type="spellStart"/>
      <w:r>
        <w:t>Antragsteller:in</w:t>
      </w:r>
      <w:proofErr w:type="spellEnd"/>
      <w:r>
        <w:t xml:space="preserve"> der Meinung ist, dass die Verarbeitung von Daten des Antragstellers bzw. der Antragstellerin gegen das Datenschutzrecht verstößt oder die datenschutzrechtlichen Ansprüche des Antragstellers bzw. der Antragstellerin sonst in einer Weise verletzt worden sind, kann sich </w:t>
      </w:r>
      <w:proofErr w:type="spellStart"/>
      <w:r>
        <w:t>der:die</w:t>
      </w:r>
      <w:proofErr w:type="spellEnd"/>
      <w:r>
        <w:t xml:space="preserve"> </w:t>
      </w:r>
      <w:proofErr w:type="spellStart"/>
      <w:r>
        <w:t>Antragsteller:in</w:t>
      </w:r>
      <w:proofErr w:type="spellEnd"/>
      <w:r>
        <w:t xml:space="preserve"> bei der Aufsichtsbehörde beschweren. In Österreich ist dies die Datenschutzbehörde. </w:t>
      </w:r>
    </w:p>
    <w:p w:rsidR="00472912" w:rsidRDefault="00472912" w:rsidP="00472912">
      <w:pPr>
        <w:ind w:left="322"/>
      </w:pPr>
      <w:r>
        <w:rPr>
          <w:color w:val="BB3118"/>
        </w:rPr>
        <w:t xml:space="preserve">Für datenschutzrechtliche Anliegen ist das Bundesministerium für </w:t>
      </w:r>
      <w:r w:rsidR="008627C1">
        <w:rPr>
          <w:color w:val="BB3118"/>
        </w:rPr>
        <w:t xml:space="preserve">Wohnen, </w:t>
      </w:r>
      <w:r>
        <w:rPr>
          <w:color w:val="BB3118"/>
        </w:rPr>
        <w:t xml:space="preserve">Kunst, Kultur, </w:t>
      </w:r>
      <w:r w:rsidR="008627C1">
        <w:rPr>
          <w:color w:val="BB3118"/>
        </w:rPr>
        <w:t>Medien</w:t>
      </w:r>
      <w:r>
        <w:rPr>
          <w:color w:val="BB3118"/>
        </w:rPr>
        <w:t xml:space="preserve"> und Sport erreichbar unter:  </w:t>
      </w:r>
      <w:r>
        <w:t xml:space="preserve">Datenschutzbeauftragte des Bundesministeriums für </w:t>
      </w:r>
      <w:r w:rsidR="008627C1">
        <w:t xml:space="preserve">Wohnen, </w:t>
      </w:r>
      <w:r>
        <w:t xml:space="preserve">Kunst, Kultur, </w:t>
      </w:r>
      <w:r w:rsidR="008627C1">
        <w:t>Medien</w:t>
      </w:r>
      <w:r>
        <w:t xml:space="preserve"> und Sport, E-Mail: </w:t>
      </w:r>
      <w:hyperlink r:id="rId7" w:history="1">
        <w:r w:rsidR="008627C1" w:rsidRPr="00BF6A40">
          <w:rPr>
            <w:rStyle w:val="Hyperlink"/>
          </w:rPr>
          <w:t>datenschutzbeauftragte@bmwkms.gv.at</w:t>
        </w:r>
      </w:hyperlink>
      <w:r w:rsidR="008627C1">
        <w:t xml:space="preserve">. </w:t>
      </w:r>
    </w:p>
    <w:p w:rsidR="00472912" w:rsidRDefault="00472912" w:rsidP="00472912">
      <w:pPr>
        <w:numPr>
          <w:ilvl w:val="0"/>
          <w:numId w:val="8"/>
        </w:numPr>
        <w:ind w:hanging="312"/>
      </w:pPr>
      <w:r>
        <w:rPr>
          <w:b/>
        </w:rPr>
        <w:t xml:space="preserve">Einstellung und Rückforderung: </w:t>
      </w:r>
      <w:r>
        <w:t>Förderungen werden als Zuschüsse bzw. Zuwendungen gewährt, die bei Einhaltung der Förderungsbedingungen und Erreichen des Förderungszwecks nicht rückzahlbar sind. Allerdings wird die Auszahlung der Förderungsmittel vom Bund eingestellt und bereits ausbezahlte Förderungsmittel sind unverzüglich rückzuzahlen, wenn</w:t>
      </w:r>
    </w:p>
    <w:p w:rsidR="00472912" w:rsidRDefault="00472912" w:rsidP="00472912">
      <w:pPr>
        <w:numPr>
          <w:ilvl w:val="1"/>
          <w:numId w:val="8"/>
        </w:numPr>
        <w:ind w:hanging="312"/>
      </w:pPr>
      <w:r>
        <w:t xml:space="preserve">Organe des Bundes oder der EU im Zusammenhang mit dem geförderten Projekt/Vorhaben über wesentliche Umstände unrichtig oder unvollständig unterrichtet wurden, nach Einreichung oder nach Zusage bei anderen Förderungsstellen um Mittel für dieses Projekt/Vorhaben angesucht wird bzw. dafür Förderungen zugesagt werden und dem </w:t>
      </w:r>
      <w:r w:rsidR="008627C1">
        <w:t>BMWKMS</w:t>
      </w:r>
      <w:r>
        <w:t xml:space="preserve"> nicht unaufgefordert und unverzüglich schriftlich der neue Finanzplan und die betreffende(n) Förderungszusage(n) übermittelt werden;</w:t>
      </w:r>
    </w:p>
    <w:p w:rsidR="00472912" w:rsidRDefault="00472912" w:rsidP="00472912">
      <w:pPr>
        <w:numPr>
          <w:ilvl w:val="1"/>
          <w:numId w:val="8"/>
        </w:numPr>
        <w:spacing w:after="156" w:line="319" w:lineRule="auto"/>
        <w:ind w:hanging="312"/>
      </w:pPr>
      <w:r>
        <w:lastRenderedPageBreak/>
        <w:t>den Auskunfts- und Nachweispflichten gemäß der Punkte 9. und 10. trotz Setzung einer angemessenen Nachfrist und Information über die Rückzahlungspflicht oder der Mitteilungspflicht nach Punkt 4. nicht nachgekommen wird bzw. wurde;</w:t>
      </w:r>
    </w:p>
    <w:p w:rsidR="00472912" w:rsidRDefault="00472912" w:rsidP="00472912">
      <w:pPr>
        <w:numPr>
          <w:ilvl w:val="1"/>
          <w:numId w:val="8"/>
        </w:numPr>
        <w:ind w:hanging="312"/>
      </w:pPr>
      <w:r>
        <w:t xml:space="preserve">entgegen der Zusicherung gemäß Punkt 13. über </w:t>
      </w:r>
      <w:proofErr w:type="spellStart"/>
      <w:proofErr w:type="gramStart"/>
      <w:r>
        <w:t>sein:ihr</w:t>
      </w:r>
      <w:proofErr w:type="spellEnd"/>
      <w:proofErr w:type="gramEnd"/>
      <w:r>
        <w:t xml:space="preserve"> Vermögen ein Insolvenzverfahren eröffnet oder die Eröffnung mangels kostendeckenden Vermögens abgelehnt wurde;</w:t>
      </w:r>
    </w:p>
    <w:p w:rsidR="00472912" w:rsidRDefault="00472912" w:rsidP="00472912">
      <w:pPr>
        <w:numPr>
          <w:ilvl w:val="1"/>
          <w:numId w:val="8"/>
        </w:numPr>
        <w:ind w:hanging="312"/>
      </w:pPr>
      <w:r>
        <w:t>Förderungsmittel widmungswidrig verwendet worden sind – von einer gänzlichen Rückforderung kann der Bund absehen, wenn die widmungswidrige Verwendung nur einen sehr geringfügigen Betrag betrifft;</w:t>
      </w:r>
    </w:p>
    <w:p w:rsidR="00472912" w:rsidRDefault="00472912" w:rsidP="00472912">
      <w:pPr>
        <w:numPr>
          <w:ilvl w:val="1"/>
          <w:numId w:val="8"/>
        </w:numPr>
        <w:ind w:hanging="312"/>
      </w:pPr>
      <w:proofErr w:type="spellStart"/>
      <w:proofErr w:type="gramStart"/>
      <w:r>
        <w:t>der:die</w:t>
      </w:r>
      <w:proofErr w:type="spellEnd"/>
      <w:proofErr w:type="gramEnd"/>
      <w:r>
        <w:t xml:space="preserve"> </w:t>
      </w:r>
      <w:proofErr w:type="spellStart"/>
      <w:r>
        <w:t>Förderungsnehmer:in</w:t>
      </w:r>
      <w:proofErr w:type="spellEnd"/>
      <w:r>
        <w:t xml:space="preserve"> vorgesehene Kontrollmaßnahmen </w:t>
      </w:r>
      <w:proofErr w:type="spellStart"/>
      <w:r>
        <w:t>be</w:t>
      </w:r>
      <w:proofErr w:type="spellEnd"/>
      <w:r>
        <w:t xml:space="preserve">- oder verhindert oder die Berechtigung zur Inanspruchnahme der Förderung innerhalb des für die Aufbewahrung der Unterlagen vorgesehenen Zeitraumes nicht mehr überprüfbar ist; von </w:t>
      </w:r>
      <w:proofErr w:type="spellStart"/>
      <w:r>
        <w:t>dem:der</w:t>
      </w:r>
      <w:proofErr w:type="spellEnd"/>
      <w:r>
        <w:t xml:space="preserve"> </w:t>
      </w:r>
      <w:proofErr w:type="spellStart"/>
      <w:r>
        <w:t>Förderungsnehmer:in</w:t>
      </w:r>
      <w:proofErr w:type="spellEnd"/>
      <w:r>
        <w:t xml:space="preserve"> das Abtretungs-, Anweisungs-, Verpfändungs- und sonstige Verfügungsverbot gemäß Punkt 6. nicht eingehalten wurde;</w:t>
      </w:r>
    </w:p>
    <w:p w:rsidR="00472912" w:rsidRDefault="00472912" w:rsidP="00472912">
      <w:pPr>
        <w:numPr>
          <w:ilvl w:val="1"/>
          <w:numId w:val="8"/>
        </w:numPr>
        <w:spacing w:after="49" w:line="259" w:lineRule="auto"/>
        <w:ind w:hanging="312"/>
      </w:pPr>
      <w:r>
        <w:t xml:space="preserve">die Bestimmungen des Gleichbehandlungsgesetzes von einem geförderten Unternehmen nicht beachtet wurden oder das </w:t>
      </w:r>
    </w:p>
    <w:p w:rsidR="00472912" w:rsidRDefault="00472912" w:rsidP="00472912">
      <w:pPr>
        <w:ind w:left="634"/>
      </w:pPr>
      <w:r>
        <w:t xml:space="preserve">Bundes-Behindertengleichstellungsgesetz oder das Diskriminierungsverbot gemäß § 7b </w:t>
      </w:r>
      <w:proofErr w:type="spellStart"/>
      <w:r>
        <w:t>BEinstG</w:t>
      </w:r>
      <w:proofErr w:type="spellEnd"/>
      <w:r>
        <w:t xml:space="preserve"> nicht berücksichtigt wurden (in diesen Fällen hat eine Rückzahlung in angemessener Höhe zu erfolgen);</w:t>
      </w:r>
    </w:p>
    <w:p w:rsidR="00472912" w:rsidRDefault="00472912" w:rsidP="00472912">
      <w:pPr>
        <w:numPr>
          <w:ilvl w:val="1"/>
          <w:numId w:val="8"/>
        </w:numPr>
        <w:ind w:hanging="312"/>
      </w:pPr>
      <w:r>
        <w:t xml:space="preserve">der Grundsatz der Wirtschaftlichkeit, Zweckmäßigkeit und Sparsamkeit oder sonstige Förderungsvoraussetzungen, Bedingungen oder Auflagen insbesondere solche, die die Erreichung des Förderungszweckes sichern sollen, </w:t>
      </w:r>
      <w:proofErr w:type="spellStart"/>
      <w:proofErr w:type="gramStart"/>
      <w:r>
        <w:t>vom:von</w:t>
      </w:r>
      <w:proofErr w:type="spellEnd"/>
      <w:proofErr w:type="gramEnd"/>
      <w:r>
        <w:t xml:space="preserve"> der </w:t>
      </w:r>
      <w:proofErr w:type="spellStart"/>
      <w:r>
        <w:t>Förderungsnehmer:in</w:t>
      </w:r>
      <w:proofErr w:type="spellEnd"/>
      <w:r>
        <w:t xml:space="preserve"> nicht eingehalten werden oder wurden – von einer gänzlichen Rückforderung kann der Bund absehen, wenn das durchgeführte Vorhaben trotz der Vertragsverletzung förderungswürdig ist.</w:t>
      </w:r>
    </w:p>
    <w:p w:rsidR="00472912" w:rsidRDefault="00472912" w:rsidP="00472912">
      <w:pPr>
        <w:numPr>
          <w:ilvl w:val="1"/>
          <w:numId w:val="8"/>
        </w:numPr>
        <w:ind w:hanging="312"/>
      </w:pPr>
      <w:r>
        <w:t xml:space="preserve">Trifft </w:t>
      </w:r>
      <w:proofErr w:type="spellStart"/>
      <w:proofErr w:type="gramStart"/>
      <w:r>
        <w:t>den:die</w:t>
      </w:r>
      <w:proofErr w:type="spellEnd"/>
      <w:proofErr w:type="gramEnd"/>
      <w:r>
        <w:t xml:space="preserve"> </w:t>
      </w:r>
      <w:proofErr w:type="spellStart"/>
      <w:r>
        <w:t>Förderungsnehmer:in</w:t>
      </w:r>
      <w:proofErr w:type="spellEnd"/>
      <w:r>
        <w:t xml:space="preserve"> ein Verschulden am Eintritt eines Rückforderungsgrundes, ist eine Verzinsung des Rückzahlungsbetrages vom Tag der Auszahlung der Förderung an mit 4 </w:t>
      </w:r>
      <w:proofErr w:type="spellStart"/>
      <w:r>
        <w:t>vH</w:t>
      </w:r>
      <w:proofErr w:type="spellEnd"/>
      <w:r>
        <w:t xml:space="preserve"> pro Jahr unter Anwendung der Zinseszinsmethode zu vereinbaren. Liegt dieser Zinssatz unter dem von der Europäischen Union für Rückforderungen festgelegten Zinssatz, ist der von der Europäischen Union festgelegte heranzuziehen.</w:t>
      </w:r>
    </w:p>
    <w:p w:rsidR="00472912" w:rsidRDefault="00472912" w:rsidP="00472912">
      <w:pPr>
        <w:numPr>
          <w:ilvl w:val="0"/>
          <w:numId w:val="8"/>
        </w:numPr>
        <w:ind w:hanging="312"/>
      </w:pPr>
      <w:r>
        <w:rPr>
          <w:b/>
        </w:rPr>
        <w:t>Insolvenz:</w:t>
      </w:r>
      <w:r>
        <w:t xml:space="preserve"> </w:t>
      </w:r>
      <w:proofErr w:type="spellStart"/>
      <w:proofErr w:type="gramStart"/>
      <w:r>
        <w:t>Der:Die</w:t>
      </w:r>
      <w:proofErr w:type="spellEnd"/>
      <w:proofErr w:type="gramEnd"/>
      <w:r>
        <w:t xml:space="preserve"> </w:t>
      </w:r>
      <w:proofErr w:type="spellStart"/>
      <w:r>
        <w:t>Förderungswerber:in</w:t>
      </w:r>
      <w:proofErr w:type="spellEnd"/>
      <w:r>
        <w:t xml:space="preserve"> erklärt, dass in den letzten drei Jahren kein Insolvenzeröffnungsverfahren anhängig war und insbesondere zum Zeitpunkt der </w:t>
      </w:r>
      <w:proofErr w:type="spellStart"/>
      <w:r>
        <w:t>Ansuchenstellung</w:t>
      </w:r>
      <w:proofErr w:type="spellEnd"/>
      <w:r>
        <w:t xml:space="preserve"> über </w:t>
      </w:r>
      <w:proofErr w:type="spellStart"/>
      <w:r>
        <w:t>sein:ihr</w:t>
      </w:r>
      <w:proofErr w:type="spellEnd"/>
      <w:r>
        <w:t xml:space="preserve"> Vermögen kein Insolvenzverfahren eröffnet ist.</w:t>
      </w:r>
    </w:p>
    <w:p w:rsidR="00472912" w:rsidRDefault="00472912" w:rsidP="00472912">
      <w:pPr>
        <w:numPr>
          <w:ilvl w:val="0"/>
          <w:numId w:val="8"/>
        </w:numPr>
        <w:ind w:hanging="312"/>
      </w:pPr>
      <w:r>
        <w:rPr>
          <w:b/>
        </w:rPr>
        <w:t>Kosten:</w:t>
      </w:r>
      <w:r>
        <w:t xml:space="preserve"> Allfällige mit der Errichtung oder Ausfertigung des Vertrages verbundene Kosten und Abgaben trägt </w:t>
      </w:r>
      <w:proofErr w:type="spellStart"/>
      <w:proofErr w:type="gramStart"/>
      <w:r>
        <w:t>der:die</w:t>
      </w:r>
      <w:proofErr w:type="spellEnd"/>
      <w:proofErr w:type="gramEnd"/>
      <w:r>
        <w:t xml:space="preserve"> </w:t>
      </w:r>
      <w:proofErr w:type="spellStart"/>
      <w:r>
        <w:t>Förderungswerber:in</w:t>
      </w:r>
      <w:proofErr w:type="spellEnd"/>
      <w:r>
        <w:t>.</w:t>
      </w:r>
    </w:p>
    <w:p w:rsidR="00472912" w:rsidRDefault="00472912" w:rsidP="00472912">
      <w:pPr>
        <w:numPr>
          <w:ilvl w:val="0"/>
          <w:numId w:val="8"/>
        </w:numPr>
        <w:ind w:hanging="312"/>
      </w:pPr>
      <w:r>
        <w:rPr>
          <w:b/>
        </w:rPr>
        <w:t>Gerichtsstand und anzuwendendes Recht:</w:t>
      </w:r>
      <w:r>
        <w:t xml:space="preserve"> Für Rechtsstreitigkeiten aus dem Förderungsvertrag werden die für 1010 Wien sachlich in Betracht kommenden Gerichte als zuständig vereinbart. Es gilt ausschließlich österreichisches Recht, kollisionsrechtliche Verweisungen auf ausländisches Recht sind nicht anzuwenden.</w:t>
      </w:r>
    </w:p>
    <w:p w:rsidR="00762E93" w:rsidRDefault="008627C1" w:rsidP="00472912">
      <w:pPr>
        <w:ind w:left="15"/>
      </w:pPr>
      <w:r>
        <w:t>Ich habe die Bedingungen zum Fördervertrag gelesen.</w:t>
      </w:r>
    </w:p>
    <w:p w:rsidR="00562AF9" w:rsidRDefault="008627C1" w:rsidP="00562AF9">
      <w:r>
        <w:t xml:space="preserve">Ich erkläre, dass die im Förderungsantrag und in den Beilagen gemachten Angaben der Wahrheit entsprechen und das Vorhaben ohne beantragte Förderung nicht oder nicht in vollem Umfang durchgeführt werden </w:t>
      </w:r>
      <w:r w:rsidR="00562AF9">
        <w:t xml:space="preserve">kann. Ich akzeptiere für den Fall einer Förderzuerkennung vorbehaltslos die auf </w:t>
      </w:r>
      <w:hyperlink r:id="rId8" w:history="1">
        <w:r w:rsidR="00562AF9" w:rsidRPr="00562AF9">
          <w:rPr>
            <w:color w:val="0000FF"/>
            <w:u w:val="single"/>
          </w:rPr>
          <w:t>Rechtsgrundlagen für Kunst und Kultur</w:t>
        </w:r>
      </w:hyperlink>
      <w:r w:rsidR="00562AF9">
        <w:t xml:space="preserve"> angeführten.</w:t>
      </w:r>
    </w:p>
    <w:p w:rsidR="00562AF9" w:rsidRPr="00562AF9" w:rsidRDefault="00562AF9" w:rsidP="00562AF9">
      <w:r>
        <w:t xml:space="preserve">Ich bestätige, die Allgemeine Rahmenrichtlinien für die Gewährung von Förderungen aus Bundesmitteln (ARR 2014) (veröffentlicht auf </w:t>
      </w:r>
      <w:hyperlink r:id="rId9" w:history="1">
        <w:r w:rsidRPr="00562AF9">
          <w:rPr>
            <w:color w:val="0000FF"/>
            <w:u w:val="single"/>
          </w:rPr>
          <w:t>Rechtsgrundlagen für Kunst und Kultur</w:t>
        </w:r>
      </w:hyperlink>
      <w:r w:rsidR="00C710CC">
        <w:t xml:space="preserve">) zur Kenntnis genommen zu haben. </w:t>
      </w:r>
      <w:proofErr w:type="spellStart"/>
      <w:r w:rsidR="00C710CC">
        <w:t>Weiters</w:t>
      </w:r>
      <w:proofErr w:type="spellEnd"/>
      <w:r w:rsidR="00C710CC">
        <w:t xml:space="preserve"> nehme ich zur Kenntnis, dass kein Rechtsanspruch auf Förderungen besteht.</w:t>
      </w:r>
    </w:p>
    <w:p w:rsidR="008627C1" w:rsidRDefault="008627C1" w:rsidP="00472912">
      <w:pPr>
        <w:ind w:left="15"/>
      </w:pPr>
      <w:bookmarkStart w:id="0" w:name="_GoBack"/>
      <w:bookmarkEnd w:id="0"/>
    </w:p>
    <w:sectPr w:rsidR="008627C1">
      <w:headerReference w:type="even" r:id="rId10"/>
      <w:headerReference w:type="default" r:id="rId11"/>
      <w:footerReference w:type="even" r:id="rId12"/>
      <w:footerReference w:type="default" r:id="rId13"/>
      <w:headerReference w:type="first" r:id="rId14"/>
      <w:footerReference w:type="first" r:id="rId15"/>
      <w:pgSz w:w="11906" w:h="16838"/>
      <w:pgMar w:top="1781" w:right="1134" w:bottom="1148" w:left="1134" w:header="499"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FF" w:rsidRDefault="006364FF">
      <w:pPr>
        <w:spacing w:after="0" w:line="240" w:lineRule="auto"/>
      </w:pPr>
      <w:r>
        <w:separator/>
      </w:r>
    </w:p>
  </w:endnote>
  <w:endnote w:type="continuationSeparator" w:id="0">
    <w:p w:rsidR="006364FF" w:rsidRDefault="0063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4B4FB2">
    <w:pPr>
      <w:spacing w:after="0" w:line="259" w:lineRule="auto"/>
      <w:ind w:left="0" w:firstLine="0"/>
      <w:jc w:val="right"/>
    </w:pPr>
    <w:r>
      <w:fldChar w:fldCharType="begin"/>
    </w:r>
    <w:r>
      <w:instrText xml:space="preserve"> PAGE   \* MERGEFORMAT </w:instrText>
    </w:r>
    <w:r>
      <w:fldChar w:fldCharType="separate"/>
    </w:r>
    <w:r>
      <w:rPr>
        <w:sz w:val="17"/>
      </w:rPr>
      <w:t>1</w:t>
    </w:r>
    <w:r>
      <w:rPr>
        <w:sz w:val="17"/>
      </w:rPr>
      <w:fldChar w:fldCharType="end"/>
    </w:r>
    <w:r>
      <w:rPr>
        <w:sz w:val="17"/>
      </w:rPr>
      <w:t xml:space="preserve"> / </w:t>
    </w:r>
    <w:fldSimple w:instr=" NUMPAGES   \* MERGEFORMAT ">
      <w:r>
        <w:rPr>
          <w:sz w:val="17"/>
        </w:rPr>
        <w:t>8</w:t>
      </w:r>
    </w:fldSimple>
  </w:p>
  <w:p w:rsidR="00BB4F15" w:rsidRDefault="00BB4F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4B4FB2">
    <w:pPr>
      <w:spacing w:after="0" w:line="259" w:lineRule="auto"/>
      <w:ind w:left="0" w:firstLine="0"/>
      <w:jc w:val="right"/>
    </w:pPr>
    <w:r>
      <w:fldChar w:fldCharType="begin"/>
    </w:r>
    <w:r>
      <w:instrText xml:space="preserve"> PAGE   \* MERGEFORMAT </w:instrText>
    </w:r>
    <w:r>
      <w:fldChar w:fldCharType="separate"/>
    </w:r>
    <w:r w:rsidR="00597B41" w:rsidRPr="00597B41">
      <w:rPr>
        <w:noProof/>
        <w:sz w:val="17"/>
      </w:rPr>
      <w:t>2</w:t>
    </w:r>
    <w:r>
      <w:rPr>
        <w:sz w:val="17"/>
      </w:rPr>
      <w:fldChar w:fldCharType="end"/>
    </w:r>
    <w:r>
      <w:rPr>
        <w:sz w:val="17"/>
      </w:rPr>
      <w:t xml:space="preserve"> / </w:t>
    </w:r>
    <w:fldSimple w:instr=" NUMPAGES   \* MERGEFORMAT ">
      <w:r w:rsidR="00597B41" w:rsidRPr="00597B41">
        <w:rPr>
          <w:noProof/>
          <w:sz w:val="17"/>
        </w:rPr>
        <w:t>3</w:t>
      </w:r>
    </w:fldSimple>
  </w:p>
  <w:p w:rsidR="00BB4F15" w:rsidRDefault="00BB4F1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4B4FB2">
    <w:pPr>
      <w:spacing w:after="0" w:line="259" w:lineRule="auto"/>
      <w:ind w:left="0" w:firstLine="0"/>
      <w:jc w:val="right"/>
    </w:pPr>
    <w:r>
      <w:fldChar w:fldCharType="begin"/>
    </w:r>
    <w:r>
      <w:instrText xml:space="preserve"> PAGE   \* MERGEFORMAT </w:instrText>
    </w:r>
    <w:r>
      <w:fldChar w:fldCharType="separate"/>
    </w:r>
    <w:r>
      <w:rPr>
        <w:sz w:val="17"/>
      </w:rPr>
      <w:t>1</w:t>
    </w:r>
    <w:r>
      <w:rPr>
        <w:sz w:val="17"/>
      </w:rPr>
      <w:fldChar w:fldCharType="end"/>
    </w:r>
    <w:r>
      <w:rPr>
        <w:sz w:val="17"/>
      </w:rPr>
      <w:t xml:space="preserve"> / </w:t>
    </w:r>
    <w:fldSimple w:instr=" NUMPAGES   \* MERGEFORMAT ">
      <w:r>
        <w:rPr>
          <w:sz w:val="17"/>
        </w:rPr>
        <w:t>8</w:t>
      </w:r>
    </w:fldSimple>
  </w:p>
  <w:p w:rsidR="00BB4F15" w:rsidRDefault="00BB4F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FF" w:rsidRDefault="006364FF">
      <w:pPr>
        <w:spacing w:after="0" w:line="240" w:lineRule="auto"/>
      </w:pPr>
      <w:r>
        <w:separator/>
      </w:r>
    </w:p>
  </w:footnote>
  <w:footnote w:type="continuationSeparator" w:id="0">
    <w:p w:rsidR="006364FF" w:rsidRDefault="0063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4B4FB2">
    <w:pPr>
      <w:spacing w:after="0" w:line="259" w:lineRule="auto"/>
      <w:ind w:left="-1134" w:right="6301" w:firstLine="0"/>
    </w:pPr>
    <w:r>
      <w:rPr>
        <w:noProof/>
      </w:rPr>
      <w:drawing>
        <wp:anchor distT="0" distB="0" distL="114300" distR="114300" simplePos="0" relativeHeight="251658240" behindDoc="0" locked="0" layoutInCell="1" allowOverlap="0">
          <wp:simplePos x="0" y="0"/>
          <wp:positionH relativeFrom="page">
            <wp:posOffset>427736</wp:posOffset>
          </wp:positionH>
          <wp:positionV relativeFrom="page">
            <wp:posOffset>312928</wp:posOffset>
          </wp:positionV>
          <wp:extent cx="2410968" cy="536448"/>
          <wp:effectExtent l="0" t="0" r="0" b="0"/>
          <wp:wrapSquare wrapText="bothSides"/>
          <wp:docPr id="9634" name="Picture 9634"/>
          <wp:cNvGraphicFramePr/>
          <a:graphic xmlns:a="http://schemas.openxmlformats.org/drawingml/2006/main">
            <a:graphicData uri="http://schemas.openxmlformats.org/drawingml/2006/picture">
              <pic:pic xmlns:pic="http://schemas.openxmlformats.org/drawingml/2006/picture">
                <pic:nvPicPr>
                  <pic:cNvPr id="9634" name="Picture 9634"/>
                  <pic:cNvPicPr/>
                </pic:nvPicPr>
                <pic:blipFill>
                  <a:blip r:embed="rId1"/>
                  <a:stretch>
                    <a:fillRect/>
                  </a:stretch>
                </pic:blipFill>
                <pic:spPr>
                  <a:xfrm>
                    <a:off x="0" y="0"/>
                    <a:ext cx="2410968" cy="536448"/>
                  </a:xfrm>
                  <a:prstGeom prst="rect">
                    <a:avLst/>
                  </a:prstGeom>
                </pic:spPr>
              </pic:pic>
            </a:graphicData>
          </a:graphic>
        </wp:anchor>
      </w:drawing>
    </w:r>
  </w:p>
  <w:p w:rsidR="00BB4F15" w:rsidRDefault="00BB4F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8627C1">
    <w:pPr>
      <w:spacing w:after="0" w:line="259" w:lineRule="auto"/>
      <w:ind w:left="-1134" w:right="6301" w:firstLine="0"/>
    </w:pPr>
    <w:r>
      <w:rPr>
        <w:noProof/>
      </w:rPr>
      <w:drawing>
        <wp:anchor distT="0" distB="0" distL="114300" distR="114300" simplePos="0" relativeHeight="251661312" behindDoc="1" locked="0" layoutInCell="1" allowOverlap="1">
          <wp:simplePos x="0" y="0"/>
          <wp:positionH relativeFrom="column">
            <wp:posOffset>-91937</wp:posOffset>
          </wp:positionH>
          <wp:positionV relativeFrom="paragraph">
            <wp:posOffset>-62976</wp:posOffset>
          </wp:positionV>
          <wp:extent cx="2113200" cy="687600"/>
          <wp:effectExtent l="0" t="0" r="1905" b="0"/>
          <wp:wrapTight wrapText="bothSides">
            <wp:wrapPolygon edited="0">
              <wp:start x="0" y="0"/>
              <wp:lineTo x="0" y="20961"/>
              <wp:lineTo x="21425" y="20961"/>
              <wp:lineTo x="2142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WKM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00" cy="687600"/>
                  </a:xfrm>
                  <a:prstGeom prst="rect">
                    <a:avLst/>
                  </a:prstGeom>
                </pic:spPr>
              </pic:pic>
            </a:graphicData>
          </a:graphic>
          <wp14:sizeRelH relativeFrom="margin">
            <wp14:pctWidth>0</wp14:pctWidth>
          </wp14:sizeRelH>
          <wp14:sizeRelV relativeFrom="margin">
            <wp14:pctHeight>0</wp14:pctHeight>
          </wp14:sizeRelV>
        </wp:anchor>
      </w:drawing>
    </w:r>
  </w:p>
  <w:p w:rsidR="00BB4F15" w:rsidRDefault="00BB4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93" w:rsidRDefault="004B4FB2">
    <w:pPr>
      <w:spacing w:after="0" w:line="259" w:lineRule="auto"/>
      <w:ind w:left="-1134" w:right="6301" w:firstLine="0"/>
    </w:pPr>
    <w:r>
      <w:rPr>
        <w:noProof/>
      </w:rPr>
      <w:drawing>
        <wp:anchor distT="0" distB="0" distL="114300" distR="114300" simplePos="0" relativeHeight="251660288" behindDoc="0" locked="0" layoutInCell="1" allowOverlap="0">
          <wp:simplePos x="0" y="0"/>
          <wp:positionH relativeFrom="page">
            <wp:posOffset>427736</wp:posOffset>
          </wp:positionH>
          <wp:positionV relativeFrom="page">
            <wp:posOffset>312928</wp:posOffset>
          </wp:positionV>
          <wp:extent cx="2410968" cy="536448"/>
          <wp:effectExtent l="0" t="0" r="0" b="0"/>
          <wp:wrapSquare wrapText="bothSides"/>
          <wp:docPr id="2" name="Picture 9634"/>
          <wp:cNvGraphicFramePr/>
          <a:graphic xmlns:a="http://schemas.openxmlformats.org/drawingml/2006/main">
            <a:graphicData uri="http://schemas.openxmlformats.org/drawingml/2006/picture">
              <pic:pic xmlns:pic="http://schemas.openxmlformats.org/drawingml/2006/picture">
                <pic:nvPicPr>
                  <pic:cNvPr id="9634" name="Picture 9634"/>
                  <pic:cNvPicPr/>
                </pic:nvPicPr>
                <pic:blipFill>
                  <a:blip r:embed="rId1"/>
                  <a:stretch>
                    <a:fillRect/>
                  </a:stretch>
                </pic:blipFill>
                <pic:spPr>
                  <a:xfrm>
                    <a:off x="0" y="0"/>
                    <a:ext cx="2410968" cy="536448"/>
                  </a:xfrm>
                  <a:prstGeom prst="rect">
                    <a:avLst/>
                  </a:prstGeom>
                </pic:spPr>
              </pic:pic>
            </a:graphicData>
          </a:graphic>
        </wp:anchor>
      </w:drawing>
    </w:r>
  </w:p>
  <w:p w:rsidR="00BB4F15" w:rsidRDefault="00BB4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0D3"/>
    <w:multiLevelType w:val="hybridMultilevel"/>
    <w:tmpl w:val="49906C38"/>
    <w:lvl w:ilvl="0" w:tplc="2B78EA0A">
      <w:start w:val="1"/>
      <w:numFmt w:val="bullet"/>
      <w:lvlText w:val="•"/>
      <w:lvlJc w:val="left"/>
      <w:pPr>
        <w:ind w:left="312"/>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2D8A86CC">
      <w:start w:val="1"/>
      <w:numFmt w:val="bullet"/>
      <w:lvlText w:val="o"/>
      <w:lvlJc w:val="left"/>
      <w:pPr>
        <w:ind w:left="108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2" w:tplc="BD2A6754">
      <w:start w:val="1"/>
      <w:numFmt w:val="bullet"/>
      <w:lvlText w:val="▪"/>
      <w:lvlJc w:val="left"/>
      <w:pPr>
        <w:ind w:left="180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3" w:tplc="8E0E5854">
      <w:start w:val="1"/>
      <w:numFmt w:val="bullet"/>
      <w:lvlText w:val="•"/>
      <w:lvlJc w:val="left"/>
      <w:pPr>
        <w:ind w:left="252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4" w:tplc="FD08E1D2">
      <w:start w:val="1"/>
      <w:numFmt w:val="bullet"/>
      <w:lvlText w:val="o"/>
      <w:lvlJc w:val="left"/>
      <w:pPr>
        <w:ind w:left="324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5" w:tplc="F894E0C2">
      <w:start w:val="1"/>
      <w:numFmt w:val="bullet"/>
      <w:lvlText w:val="▪"/>
      <w:lvlJc w:val="left"/>
      <w:pPr>
        <w:ind w:left="396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6" w:tplc="27A2BB3E">
      <w:start w:val="1"/>
      <w:numFmt w:val="bullet"/>
      <w:lvlText w:val="•"/>
      <w:lvlJc w:val="left"/>
      <w:pPr>
        <w:ind w:left="468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7" w:tplc="AE5439D6">
      <w:start w:val="1"/>
      <w:numFmt w:val="bullet"/>
      <w:lvlText w:val="o"/>
      <w:lvlJc w:val="left"/>
      <w:pPr>
        <w:ind w:left="540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8" w:tplc="559E1396">
      <w:start w:val="1"/>
      <w:numFmt w:val="bullet"/>
      <w:lvlText w:val="▪"/>
      <w:lvlJc w:val="left"/>
      <w:pPr>
        <w:ind w:left="612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abstractNum>
  <w:abstractNum w:abstractNumId="1" w15:restartNumberingAfterBreak="0">
    <w:nsid w:val="02F64AEE"/>
    <w:multiLevelType w:val="hybridMultilevel"/>
    <w:tmpl w:val="9E080F70"/>
    <w:lvl w:ilvl="0" w:tplc="BF780E0E">
      <w:start w:val="2"/>
      <w:numFmt w:val="decimal"/>
      <w:lvlText w:val="%1."/>
      <w:lvlJc w:val="left"/>
      <w:pPr>
        <w:ind w:left="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D04FFA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70162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E243D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7838A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D165A7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20608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820BF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C4CB25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866775"/>
    <w:multiLevelType w:val="hybridMultilevel"/>
    <w:tmpl w:val="950C9B0A"/>
    <w:lvl w:ilvl="0" w:tplc="56A675D6">
      <w:start w:val="12"/>
      <w:numFmt w:val="decimal"/>
      <w:lvlText w:val="%1."/>
      <w:lvlJc w:val="left"/>
      <w:pPr>
        <w:ind w:left="312"/>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22FA3136">
      <w:start w:val="1"/>
      <w:numFmt w:val="lowerLetter"/>
      <w:lvlText w:val="%2)"/>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5C84836">
      <w:start w:val="1"/>
      <w:numFmt w:val="lowerRoman"/>
      <w:lvlText w:val="%3"/>
      <w:lvlJc w:val="left"/>
      <w:pPr>
        <w:ind w:left="1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2E9EE0">
      <w:start w:val="1"/>
      <w:numFmt w:val="decimal"/>
      <w:lvlText w:val="%4"/>
      <w:lvlJc w:val="left"/>
      <w:pPr>
        <w:ind w:left="2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C9EDFDE">
      <w:start w:val="1"/>
      <w:numFmt w:val="lowerLetter"/>
      <w:lvlText w:val="%5"/>
      <w:lvlJc w:val="left"/>
      <w:pPr>
        <w:ind w:left="2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78A87B8">
      <w:start w:val="1"/>
      <w:numFmt w:val="lowerRoman"/>
      <w:lvlText w:val="%6"/>
      <w:lvlJc w:val="left"/>
      <w:pPr>
        <w:ind w:left="3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A063EE">
      <w:start w:val="1"/>
      <w:numFmt w:val="decimal"/>
      <w:lvlText w:val="%7"/>
      <w:lvlJc w:val="left"/>
      <w:pPr>
        <w:ind w:left="4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5D80C44">
      <w:start w:val="1"/>
      <w:numFmt w:val="lowerLetter"/>
      <w:lvlText w:val="%8"/>
      <w:lvlJc w:val="left"/>
      <w:pPr>
        <w:ind w:left="4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B6C5386">
      <w:start w:val="1"/>
      <w:numFmt w:val="lowerRoman"/>
      <w:lvlText w:val="%9"/>
      <w:lvlJc w:val="left"/>
      <w:pPr>
        <w:ind w:left="5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F7642FB"/>
    <w:multiLevelType w:val="hybridMultilevel"/>
    <w:tmpl w:val="D1485FD4"/>
    <w:lvl w:ilvl="0" w:tplc="B77A4DE6">
      <w:start w:val="12"/>
      <w:numFmt w:val="decimal"/>
      <w:lvlText w:val="%1."/>
      <w:lvlJc w:val="left"/>
      <w:pPr>
        <w:ind w:left="317"/>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D32275F2">
      <w:start w:val="1"/>
      <w:numFmt w:val="lowerLetter"/>
      <w:lvlText w:val="%2)"/>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D65B70">
      <w:start w:val="1"/>
      <w:numFmt w:val="lowerRoman"/>
      <w:lvlText w:val="%3"/>
      <w:lvlJc w:val="left"/>
      <w:pPr>
        <w:ind w:left="1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5C2478">
      <w:start w:val="1"/>
      <w:numFmt w:val="decimal"/>
      <w:lvlText w:val="%4"/>
      <w:lvlJc w:val="left"/>
      <w:pPr>
        <w:ind w:left="2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049EEA">
      <w:start w:val="1"/>
      <w:numFmt w:val="lowerLetter"/>
      <w:lvlText w:val="%5"/>
      <w:lvlJc w:val="left"/>
      <w:pPr>
        <w:ind w:left="2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26860C">
      <w:start w:val="1"/>
      <w:numFmt w:val="lowerRoman"/>
      <w:lvlText w:val="%6"/>
      <w:lvlJc w:val="left"/>
      <w:pPr>
        <w:ind w:left="3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A32E75A">
      <w:start w:val="1"/>
      <w:numFmt w:val="decimal"/>
      <w:lvlText w:val="%7"/>
      <w:lvlJc w:val="left"/>
      <w:pPr>
        <w:ind w:left="4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2F2D760">
      <w:start w:val="1"/>
      <w:numFmt w:val="lowerLetter"/>
      <w:lvlText w:val="%8"/>
      <w:lvlJc w:val="left"/>
      <w:pPr>
        <w:ind w:left="4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2E696C">
      <w:start w:val="1"/>
      <w:numFmt w:val="lowerRoman"/>
      <w:lvlText w:val="%9"/>
      <w:lvlJc w:val="left"/>
      <w:pPr>
        <w:ind w:left="5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B745FC7"/>
    <w:multiLevelType w:val="hybridMultilevel"/>
    <w:tmpl w:val="64E63462"/>
    <w:lvl w:ilvl="0" w:tplc="EC727FDA">
      <w:start w:val="1"/>
      <w:numFmt w:val="decimal"/>
      <w:lvlText w:val="%1."/>
      <w:lvlJc w:val="left"/>
      <w:pPr>
        <w:ind w:left="317"/>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5CE05904">
      <w:start w:val="1"/>
      <w:numFmt w:val="lowerLetter"/>
      <w:lvlText w:val="%2)"/>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C2AF48C">
      <w:start w:val="1"/>
      <w:numFmt w:val="lowerRoman"/>
      <w:lvlText w:val="%3"/>
      <w:lvlJc w:val="left"/>
      <w:pPr>
        <w:ind w:left="1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0CADF4">
      <w:start w:val="1"/>
      <w:numFmt w:val="decimal"/>
      <w:lvlText w:val="%4"/>
      <w:lvlJc w:val="left"/>
      <w:pPr>
        <w:ind w:left="2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8BE2CDC">
      <w:start w:val="1"/>
      <w:numFmt w:val="lowerLetter"/>
      <w:lvlText w:val="%5"/>
      <w:lvlJc w:val="left"/>
      <w:pPr>
        <w:ind w:left="2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FE08466">
      <w:start w:val="1"/>
      <w:numFmt w:val="lowerRoman"/>
      <w:lvlText w:val="%6"/>
      <w:lvlJc w:val="left"/>
      <w:pPr>
        <w:ind w:left="3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4D03628">
      <w:start w:val="1"/>
      <w:numFmt w:val="decimal"/>
      <w:lvlText w:val="%7"/>
      <w:lvlJc w:val="left"/>
      <w:pPr>
        <w:ind w:left="4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AFEC1D4">
      <w:start w:val="1"/>
      <w:numFmt w:val="lowerLetter"/>
      <w:lvlText w:val="%8"/>
      <w:lvlJc w:val="left"/>
      <w:pPr>
        <w:ind w:left="4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723FB8">
      <w:start w:val="1"/>
      <w:numFmt w:val="lowerRoman"/>
      <w:lvlText w:val="%9"/>
      <w:lvlJc w:val="left"/>
      <w:pPr>
        <w:ind w:left="5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00E46C9"/>
    <w:multiLevelType w:val="hybridMultilevel"/>
    <w:tmpl w:val="B31CE2D0"/>
    <w:lvl w:ilvl="0" w:tplc="F6CA3754">
      <w:start w:val="1"/>
      <w:numFmt w:val="bullet"/>
      <w:lvlText w:val="–"/>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9623D4A">
      <w:start w:val="1"/>
      <w:numFmt w:val="bullet"/>
      <w:lvlText w:val="o"/>
      <w:lvlJc w:val="left"/>
      <w:pPr>
        <w:ind w:left="1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36F772">
      <w:start w:val="1"/>
      <w:numFmt w:val="bullet"/>
      <w:lvlText w:val="▪"/>
      <w:lvlJc w:val="left"/>
      <w:pPr>
        <w:ind w:left="2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69640F4">
      <w:start w:val="1"/>
      <w:numFmt w:val="bullet"/>
      <w:lvlText w:val="•"/>
      <w:lvlJc w:val="left"/>
      <w:pPr>
        <w:ind w:left="2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EA92EE">
      <w:start w:val="1"/>
      <w:numFmt w:val="bullet"/>
      <w:lvlText w:val="o"/>
      <w:lvlJc w:val="left"/>
      <w:pPr>
        <w:ind w:left="3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AE2374">
      <w:start w:val="1"/>
      <w:numFmt w:val="bullet"/>
      <w:lvlText w:val="▪"/>
      <w:lvlJc w:val="left"/>
      <w:pPr>
        <w:ind w:left="4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4091D0">
      <w:start w:val="1"/>
      <w:numFmt w:val="bullet"/>
      <w:lvlText w:val="•"/>
      <w:lvlJc w:val="left"/>
      <w:pPr>
        <w:ind w:left="4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4AFBC6">
      <w:start w:val="1"/>
      <w:numFmt w:val="bullet"/>
      <w:lvlText w:val="o"/>
      <w:lvlJc w:val="left"/>
      <w:pPr>
        <w:ind w:left="5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EA2DA6">
      <w:start w:val="1"/>
      <w:numFmt w:val="bullet"/>
      <w:lvlText w:val="▪"/>
      <w:lvlJc w:val="left"/>
      <w:pPr>
        <w:ind w:left="64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790583B"/>
    <w:multiLevelType w:val="hybridMultilevel"/>
    <w:tmpl w:val="4E267D0A"/>
    <w:lvl w:ilvl="0" w:tplc="77487CAC">
      <w:start w:val="1"/>
      <w:numFmt w:val="decimal"/>
      <w:lvlText w:val="%1."/>
      <w:lvlJc w:val="left"/>
      <w:pPr>
        <w:ind w:left="312"/>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6F06D2FA">
      <w:start w:val="1"/>
      <w:numFmt w:val="lowerLetter"/>
      <w:lvlText w:val="%2)"/>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92911A">
      <w:start w:val="1"/>
      <w:numFmt w:val="lowerRoman"/>
      <w:lvlText w:val="%3"/>
      <w:lvlJc w:val="left"/>
      <w:pPr>
        <w:ind w:left="13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66D3DE">
      <w:start w:val="1"/>
      <w:numFmt w:val="decimal"/>
      <w:lvlText w:val="%4"/>
      <w:lvlJc w:val="left"/>
      <w:pPr>
        <w:ind w:left="2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01E11E0">
      <w:start w:val="1"/>
      <w:numFmt w:val="lowerLetter"/>
      <w:lvlText w:val="%5"/>
      <w:lvlJc w:val="left"/>
      <w:pPr>
        <w:ind w:left="2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12DFF0">
      <w:start w:val="1"/>
      <w:numFmt w:val="lowerRoman"/>
      <w:lvlText w:val="%6"/>
      <w:lvlJc w:val="left"/>
      <w:pPr>
        <w:ind w:left="3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C2F086">
      <w:start w:val="1"/>
      <w:numFmt w:val="decimal"/>
      <w:lvlText w:val="%7"/>
      <w:lvlJc w:val="left"/>
      <w:pPr>
        <w:ind w:left="4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486A076">
      <w:start w:val="1"/>
      <w:numFmt w:val="lowerLetter"/>
      <w:lvlText w:val="%8"/>
      <w:lvlJc w:val="left"/>
      <w:pPr>
        <w:ind w:left="4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76804A">
      <w:start w:val="1"/>
      <w:numFmt w:val="lowerRoman"/>
      <w:lvlText w:val="%9"/>
      <w:lvlJc w:val="left"/>
      <w:pPr>
        <w:ind w:left="5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CA05AB5"/>
    <w:multiLevelType w:val="hybridMultilevel"/>
    <w:tmpl w:val="58B46E18"/>
    <w:lvl w:ilvl="0" w:tplc="140E9D98">
      <w:start w:val="1"/>
      <w:numFmt w:val="decimal"/>
      <w:lvlText w:val="%1."/>
      <w:lvlJc w:val="left"/>
      <w:pPr>
        <w:ind w:left="317"/>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1" w:tplc="7FDA3C28">
      <w:start w:val="1"/>
      <w:numFmt w:val="lowerLetter"/>
      <w:lvlText w:val="%2"/>
      <w:lvlJc w:val="left"/>
      <w:pPr>
        <w:ind w:left="108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2" w:tplc="3BF0EBDA">
      <w:start w:val="1"/>
      <w:numFmt w:val="lowerRoman"/>
      <w:lvlText w:val="%3"/>
      <w:lvlJc w:val="left"/>
      <w:pPr>
        <w:ind w:left="180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3" w:tplc="B6A2D784">
      <w:start w:val="1"/>
      <w:numFmt w:val="decimal"/>
      <w:lvlText w:val="%4"/>
      <w:lvlJc w:val="left"/>
      <w:pPr>
        <w:ind w:left="252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4" w:tplc="6D6AEEEE">
      <w:start w:val="1"/>
      <w:numFmt w:val="lowerLetter"/>
      <w:lvlText w:val="%5"/>
      <w:lvlJc w:val="left"/>
      <w:pPr>
        <w:ind w:left="324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5" w:tplc="CE5ADBB6">
      <w:start w:val="1"/>
      <w:numFmt w:val="lowerRoman"/>
      <w:lvlText w:val="%6"/>
      <w:lvlJc w:val="left"/>
      <w:pPr>
        <w:ind w:left="396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6" w:tplc="66483A72">
      <w:start w:val="1"/>
      <w:numFmt w:val="decimal"/>
      <w:lvlText w:val="%7"/>
      <w:lvlJc w:val="left"/>
      <w:pPr>
        <w:ind w:left="468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7" w:tplc="AD8676E6">
      <w:start w:val="1"/>
      <w:numFmt w:val="lowerLetter"/>
      <w:lvlText w:val="%8"/>
      <w:lvlJc w:val="left"/>
      <w:pPr>
        <w:ind w:left="540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lvl w:ilvl="8" w:tplc="D48803CA">
      <w:start w:val="1"/>
      <w:numFmt w:val="lowerRoman"/>
      <w:lvlText w:val="%9"/>
      <w:lvlJc w:val="left"/>
      <w:pPr>
        <w:ind w:left="6120"/>
      </w:pPr>
      <w:rPr>
        <w:rFonts w:ascii="Calibri" w:eastAsia="Calibri" w:hAnsi="Calibri" w:cs="Calibri"/>
        <w:b w:val="0"/>
        <w:i w:val="0"/>
        <w:strike w:val="0"/>
        <w:dstrike w:val="0"/>
        <w:color w:val="BB3118"/>
        <w:sz w:val="16"/>
        <w:szCs w:val="16"/>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93"/>
    <w:rsid w:val="0032559E"/>
    <w:rsid w:val="00472912"/>
    <w:rsid w:val="004B4FB2"/>
    <w:rsid w:val="00562AF9"/>
    <w:rsid w:val="00597B41"/>
    <w:rsid w:val="00604266"/>
    <w:rsid w:val="006364FF"/>
    <w:rsid w:val="00762E93"/>
    <w:rsid w:val="00821150"/>
    <w:rsid w:val="008627C1"/>
    <w:rsid w:val="008F61B5"/>
    <w:rsid w:val="0090767F"/>
    <w:rsid w:val="00BB4F15"/>
    <w:rsid w:val="00C710CC"/>
    <w:rsid w:val="00CD4F0A"/>
    <w:rsid w:val="00F851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1441"/>
  <w15:docId w15:val="{3031A02E-F953-4929-8D83-6C1EF93F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58" w:line="321" w:lineRule="auto"/>
      <w:ind w:left="10" w:hanging="10"/>
    </w:pPr>
    <w:rPr>
      <w:rFonts w:ascii="Calibri" w:eastAsia="Calibri" w:hAnsi="Calibri" w:cs="Calibri"/>
      <w:color w:val="000000"/>
      <w:sz w:val="16"/>
    </w:rPr>
  </w:style>
  <w:style w:type="paragraph" w:styleId="berschrift1">
    <w:name w:val="heading 1"/>
    <w:next w:val="Standard"/>
    <w:link w:val="berschrift1Zchn"/>
    <w:uiPriority w:val="9"/>
    <w:unhideWhenUsed/>
    <w:qFormat/>
    <w:pPr>
      <w:keepNext/>
      <w:keepLines/>
      <w:spacing w:after="1" w:line="265" w:lineRule="auto"/>
      <w:ind w:left="10" w:hanging="10"/>
      <w:outlineLvl w:val="0"/>
    </w:pPr>
    <w:rPr>
      <w:rFonts w:ascii="Calibri" w:eastAsia="Calibri" w:hAnsi="Calibri" w:cs="Calibri"/>
      <w:b/>
      <w:color w:val="BB3118"/>
      <w:sz w:val="23"/>
    </w:rPr>
  </w:style>
  <w:style w:type="paragraph" w:styleId="berschrift2">
    <w:name w:val="heading 2"/>
    <w:next w:val="Standard"/>
    <w:link w:val="berschrift2Zchn"/>
    <w:uiPriority w:val="9"/>
    <w:unhideWhenUsed/>
    <w:qFormat/>
    <w:pPr>
      <w:keepNext/>
      <w:keepLines/>
      <w:spacing w:after="3"/>
      <w:ind w:left="10" w:hanging="10"/>
      <w:outlineLvl w:val="1"/>
    </w:pPr>
    <w:rPr>
      <w:rFonts w:ascii="Calibri" w:eastAsia="Calibri" w:hAnsi="Calibri" w:cs="Calibri"/>
      <w:b/>
      <w:color w:val="000000"/>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b/>
      <w:color w:val="000000"/>
      <w:sz w:val="19"/>
    </w:rPr>
  </w:style>
  <w:style w:type="character" w:customStyle="1" w:styleId="berschrift1Zchn">
    <w:name w:val="Überschrift 1 Zchn"/>
    <w:link w:val="berschrift1"/>
    <w:rPr>
      <w:rFonts w:ascii="Calibri" w:eastAsia="Calibri" w:hAnsi="Calibri" w:cs="Calibri"/>
      <w:b/>
      <w:color w:val="BB3118"/>
      <w:sz w:val="23"/>
    </w:rPr>
  </w:style>
  <w:style w:type="character" w:styleId="Hyperlink">
    <w:name w:val="Hyperlink"/>
    <w:basedOn w:val="Absatz-Standardschriftart"/>
    <w:uiPriority w:val="99"/>
    <w:unhideWhenUsed/>
    <w:rsid w:val="00CD4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mwkms.gv.at/themen/kunst-und-kultur/service-kunst-und-kultur/rechtsgrundlage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enschutzbeauftragte@bmwkms.gv.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mwkms.gv.at/themen/kunst-und-kultur/service-kunst-und-kultur/rechtsgrundlagen.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11600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Förderungsantrag allgemein an BMKÖS, Sektion IV Kunst und Kultur</vt:lpstr>
    </vt:vector>
  </TitlesOfParts>
  <Company>Bundesrechenzentrum GmbH</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Förderungsantrag allgemein an BMKÖS, Sektion IV Kunst und Kultur</dc:title>
  <dc:subject/>
  <dc:creator>Ledolter Michael</dc:creator>
  <cp:keywords/>
  <cp:lastModifiedBy>Iris Kublowsky</cp:lastModifiedBy>
  <cp:revision>3</cp:revision>
  <dcterms:created xsi:type="dcterms:W3CDTF">2025-07-09T11:12:00Z</dcterms:created>
  <dcterms:modified xsi:type="dcterms:W3CDTF">2025-07-09T11:16:00Z</dcterms:modified>
</cp:coreProperties>
</file>